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4FC954EF" w14:textId="7CFC3A8F" w:rsidR="008924F1" w:rsidRPr="00142137" w:rsidRDefault="008924F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3221</w:t>
      </w:r>
    </w:p>
    <w:p w14:paraId="2056C268" w14:textId="4391B40A" w:rsidR="00337879" w:rsidRPr="00337879" w:rsidRDefault="008924F1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0B4D62E5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3E8F54F4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1758DBFE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255054E8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6313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490883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343A6C00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Мемлекетттік қызмет органдардағы кадрлық </w:t>
            </w:r>
            <w:r w:rsidR="00892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490883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490883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490883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490883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490883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490883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490883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490883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490883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490883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308B333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FCF5D80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5142FDA0" w14:textId="77777777" w:rsidR="00490883" w:rsidRDefault="00490883" w:rsidP="0049088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1208B2ED" w14:textId="77777777" w:rsidR="00490883" w:rsidRDefault="00490883" w:rsidP="00490883">
      <w:pPr>
        <w:numPr>
          <w:ilvl w:val="0"/>
          <w:numId w:val="17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2C4F2BB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"http://www.adilet.zan.kz"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none"/>
          <w:lang w:val="kk-KZ" w:eastAsia="kk-KZ"/>
        </w:rPr>
        <w:t>www.adilet.zan.kz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08A0D876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D9CE955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7B019C7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9D9AE1A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EF8E7E0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DE43A57" w14:textId="77777777" w:rsidR="00490883" w:rsidRDefault="00490883" w:rsidP="00490883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79EFDC3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3979F9BB" w14:textId="77777777" w:rsidR="00490883" w:rsidRDefault="00490883" w:rsidP="00490883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6E5740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F15DD55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04D8F0BB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197EA50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C04B145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2B114C01" w14:textId="77777777" w:rsidR="00490883" w:rsidRDefault="00490883" w:rsidP="004908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lastRenderedPageBreak/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519D9515" w14:textId="77777777" w:rsidR="00490883" w:rsidRDefault="00490883" w:rsidP="0049088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56D34DA" w14:textId="77777777" w:rsidR="00490883" w:rsidRDefault="00490883" w:rsidP="00490883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9914A16" w14:textId="77777777" w:rsidR="00490883" w:rsidRDefault="00490883" w:rsidP="0049088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5D4255B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36A9D519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2C60ED09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1D723AA7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40DDFA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D909A55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3F7D98E7" w14:textId="77777777" w:rsidR="00490883" w:rsidRDefault="00490883" w:rsidP="0049088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505FB095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020615BB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3E7C52FE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4288AC9F" w14:textId="77777777" w:rsidR="00490883" w:rsidRDefault="00490883" w:rsidP="00490883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0533225" w14:textId="77777777" w:rsidR="00490883" w:rsidRDefault="00490883" w:rsidP="0049088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2B77BDF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34181053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1A3712BA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DD6237D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1C5BE9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9FEC9E4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3E941E46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5"/>
            <w:rFonts w:ascii="Times New Roman" w:hAnsi="Times New Roman" w:cs="Times New Roman"/>
            <w:color w:val="000000" w:themeColor="text1"/>
            <w:kern w:val="2"/>
            <w:sz w:val="20"/>
            <w:szCs w:val="20"/>
            <w:u w:val="none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535A3361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32C9D8A5" w14:textId="3AEBD8DC" w:rsidR="000956B4" w:rsidRPr="000A52B6" w:rsidRDefault="000956B4" w:rsidP="00FE050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88FB9A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E544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01C86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9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4"/>
  </w:num>
  <w:num w:numId="5" w16cid:durableId="2071808095">
    <w:abstractNumId w:val="15"/>
  </w:num>
  <w:num w:numId="6" w16cid:durableId="1884705322">
    <w:abstractNumId w:val="5"/>
  </w:num>
  <w:num w:numId="7" w16cid:durableId="2035959449">
    <w:abstractNumId w:val="12"/>
  </w:num>
  <w:num w:numId="8" w16cid:durableId="1881476086">
    <w:abstractNumId w:val="6"/>
  </w:num>
  <w:num w:numId="9" w16cid:durableId="1746872923">
    <w:abstractNumId w:val="7"/>
  </w:num>
  <w:num w:numId="10" w16cid:durableId="1498155116">
    <w:abstractNumId w:val="11"/>
  </w:num>
  <w:num w:numId="11" w16cid:durableId="72558089">
    <w:abstractNumId w:val="16"/>
  </w:num>
  <w:num w:numId="12" w16cid:durableId="1944728377">
    <w:abstractNumId w:val="8"/>
  </w:num>
  <w:num w:numId="13" w16cid:durableId="571819596">
    <w:abstractNumId w:val="13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10"/>
  </w:num>
  <w:num w:numId="17" w16cid:durableId="120055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39283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883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0A52B6"/>
    <w:rsid w:val="00142137"/>
    <w:rsid w:val="001A3175"/>
    <w:rsid w:val="001C3E9E"/>
    <w:rsid w:val="001D6CA4"/>
    <w:rsid w:val="00234C72"/>
    <w:rsid w:val="00337879"/>
    <w:rsid w:val="003F1A60"/>
    <w:rsid w:val="00435B95"/>
    <w:rsid w:val="00446C23"/>
    <w:rsid w:val="00474A1A"/>
    <w:rsid w:val="00490883"/>
    <w:rsid w:val="004B3812"/>
    <w:rsid w:val="004E48AC"/>
    <w:rsid w:val="00507B22"/>
    <w:rsid w:val="00564E1D"/>
    <w:rsid w:val="006313B1"/>
    <w:rsid w:val="00656C24"/>
    <w:rsid w:val="00715AE7"/>
    <w:rsid w:val="00793212"/>
    <w:rsid w:val="008924F1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49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27</cp:revision>
  <dcterms:created xsi:type="dcterms:W3CDTF">2021-01-26T15:46:00Z</dcterms:created>
  <dcterms:modified xsi:type="dcterms:W3CDTF">2023-06-29T09:00:00Z</dcterms:modified>
</cp:coreProperties>
</file>